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15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2880"/>
        <w:gridCol w:w="355"/>
        <w:gridCol w:w="6480"/>
      </w:tblGrid>
      <w:tr w:rsidR="007B6058" w:rsidRPr="00F552DD" w14:paraId="78F80C98" w14:textId="77777777" w:rsidTr="002C4E27">
        <w:trPr>
          <w:trHeight w:val="1020"/>
        </w:trPr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9DBDAA" w14:textId="72BE218A" w:rsidR="007B6058" w:rsidRPr="00F552DD" w:rsidRDefault="007B6058" w:rsidP="0003087F">
            <w:pPr>
              <w:jc w:val="both"/>
              <w:rPr>
                <w:rFonts w:ascii="Comfortaa" w:hAnsi="Comfortaa"/>
              </w:rPr>
            </w:pPr>
            <w:r w:rsidRPr="00F552DD">
              <w:rPr>
                <w:rFonts w:ascii="Comfortaa" w:hAnsi="Comfortaa"/>
                <w:noProof/>
              </w:rPr>
              <w:drawing>
                <wp:inline distT="0" distB="0" distL="0" distR="0" wp14:anchorId="0319A199" wp14:editId="2B3F3E47">
                  <wp:extent cx="1704975" cy="1813227"/>
                  <wp:effectExtent l="0" t="0" r="0" b="0"/>
                  <wp:docPr id="7" name="Graphic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oAsset 2.sv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2122" cy="1820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" w:type="dxa"/>
            <w:vMerge w:val="restart"/>
            <w:tcBorders>
              <w:top w:val="nil"/>
              <w:left w:val="nil"/>
              <w:right w:val="nil"/>
            </w:tcBorders>
          </w:tcPr>
          <w:p w14:paraId="4D8217F2" w14:textId="77777777" w:rsidR="007B6058" w:rsidRPr="00F552DD" w:rsidRDefault="007B6058">
            <w:pPr>
              <w:rPr>
                <w:rFonts w:ascii="Comfortaa" w:hAnsi="Comfortaa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55ECD018" w14:textId="288F7F4E" w:rsidR="007B6058" w:rsidRPr="00F552DD" w:rsidRDefault="007B6058" w:rsidP="00BC010C">
            <w:pPr>
              <w:jc w:val="center"/>
              <w:rPr>
                <w:rFonts w:ascii="Comfortaa" w:hAnsi="Comfortaa" w:cs="Segoe UI"/>
              </w:rPr>
            </w:pPr>
          </w:p>
        </w:tc>
      </w:tr>
      <w:tr w:rsidR="007B6058" w:rsidRPr="00F552DD" w14:paraId="4D0F329D" w14:textId="77777777" w:rsidTr="002C4E27">
        <w:trPr>
          <w:trHeight w:val="1020"/>
        </w:trPr>
        <w:tc>
          <w:tcPr>
            <w:tcW w:w="28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390DBE" w14:textId="77777777" w:rsidR="007B6058" w:rsidRPr="00F552DD" w:rsidRDefault="007B6058" w:rsidP="0003087F">
            <w:pPr>
              <w:jc w:val="both"/>
              <w:rPr>
                <w:rFonts w:ascii="Comfortaa" w:hAnsi="Comfortaa"/>
                <w:noProof/>
              </w:rPr>
            </w:pPr>
          </w:p>
        </w:tc>
        <w:tc>
          <w:tcPr>
            <w:tcW w:w="355" w:type="dxa"/>
            <w:vMerge/>
            <w:tcBorders>
              <w:left w:val="nil"/>
              <w:right w:val="nil"/>
            </w:tcBorders>
          </w:tcPr>
          <w:p w14:paraId="37D10BB7" w14:textId="77777777" w:rsidR="007B6058" w:rsidRPr="00F552DD" w:rsidRDefault="007B6058">
            <w:pPr>
              <w:rPr>
                <w:rFonts w:ascii="Comfortaa" w:hAnsi="Comfortaa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40DC6FCA" w14:textId="1FC3607E" w:rsidR="00862364" w:rsidRDefault="00862364" w:rsidP="00BC010C">
            <w:pPr>
              <w:jc w:val="center"/>
              <w:rPr>
                <w:rFonts w:ascii="Comfortaa" w:hAnsi="Comfortaa" w:cs="Segoe UI"/>
              </w:rPr>
            </w:pPr>
            <w:r>
              <w:rPr>
                <w:rFonts w:ascii="Comfortaa" w:hAnsi="Comfortaa" w:cs="Segoe UI"/>
              </w:rPr>
              <w:t>FOR IMMEDIATE RELEASE</w:t>
            </w:r>
            <w:r w:rsidR="007B6058" w:rsidRPr="00F552DD">
              <w:rPr>
                <w:rFonts w:ascii="Comfortaa" w:hAnsi="Comfortaa" w:cs="Segoe UI"/>
              </w:rPr>
              <w:br/>
            </w:r>
            <w:r w:rsidRPr="00042AEE">
              <w:rPr>
                <w:rFonts w:ascii="Comfortaa" w:hAnsi="Comfortaa" w:cs="Segoe UI"/>
              </w:rPr>
              <w:t>Contact: Samantha Puntenney</w:t>
            </w:r>
          </w:p>
          <w:p w14:paraId="5C31C872" w14:textId="3A0F0A55" w:rsidR="00862364" w:rsidRDefault="00E14834" w:rsidP="00BC010C">
            <w:pPr>
              <w:jc w:val="center"/>
              <w:rPr>
                <w:rFonts w:ascii="Comfortaa" w:hAnsi="Comfortaa" w:cs="Segoe UI"/>
              </w:rPr>
            </w:pPr>
            <w:hyperlink r:id="rId7" w:history="1">
              <w:r w:rsidR="00862364" w:rsidRPr="00E2463E">
                <w:rPr>
                  <w:rStyle w:val="Hyperlink"/>
                  <w:rFonts w:ascii="Comfortaa" w:hAnsi="Comfortaa" w:cs="Segoe UI"/>
                </w:rPr>
                <w:t>spuntenney@hopesource.us</w:t>
              </w:r>
            </w:hyperlink>
          </w:p>
          <w:p w14:paraId="69BB2F37" w14:textId="2E6E4FEE" w:rsidR="007B6058" w:rsidRPr="00F552DD" w:rsidRDefault="00862364" w:rsidP="00BC010C">
            <w:pPr>
              <w:jc w:val="center"/>
              <w:rPr>
                <w:rFonts w:ascii="Comfortaa" w:hAnsi="Comfortaa" w:cs="Segoe UI"/>
              </w:rPr>
            </w:pPr>
            <w:r>
              <w:rPr>
                <w:rFonts w:ascii="Comfortaa" w:hAnsi="Comfortaa" w:cs="Segoe UI"/>
              </w:rPr>
              <w:t>(509) 925-1448</w:t>
            </w:r>
            <w:r w:rsidR="007B6058" w:rsidRPr="00F552DD">
              <w:rPr>
                <w:rFonts w:ascii="Comfortaa" w:hAnsi="Comfortaa" w:cs="Segoe UI"/>
              </w:rPr>
              <w:br/>
            </w:r>
          </w:p>
        </w:tc>
      </w:tr>
      <w:tr w:rsidR="00422101" w:rsidRPr="00F552DD" w14:paraId="64FCC799" w14:textId="77777777" w:rsidTr="002C4E27">
        <w:trPr>
          <w:trHeight w:val="1040"/>
        </w:trPr>
        <w:tc>
          <w:tcPr>
            <w:tcW w:w="28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954ED3" w14:textId="77777777" w:rsidR="00422101" w:rsidRPr="00F552DD" w:rsidRDefault="00422101" w:rsidP="007B6058">
            <w:pPr>
              <w:jc w:val="both"/>
              <w:rPr>
                <w:rFonts w:ascii="Comfortaa" w:hAnsi="Comfortaa"/>
                <w:noProof/>
              </w:rPr>
            </w:pPr>
          </w:p>
        </w:tc>
        <w:tc>
          <w:tcPr>
            <w:tcW w:w="355" w:type="dxa"/>
            <w:vMerge/>
            <w:tcBorders>
              <w:left w:val="nil"/>
              <w:bottom w:val="nil"/>
              <w:right w:val="nil"/>
            </w:tcBorders>
          </w:tcPr>
          <w:p w14:paraId="0DFDCA86" w14:textId="77777777" w:rsidR="00422101" w:rsidRPr="00F552DD" w:rsidRDefault="00422101" w:rsidP="007B6058">
            <w:pPr>
              <w:rPr>
                <w:rFonts w:ascii="Comfortaa" w:hAnsi="Comfortaa"/>
              </w:rPr>
            </w:pPr>
          </w:p>
        </w:tc>
        <w:tc>
          <w:tcPr>
            <w:tcW w:w="64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21595F" w14:textId="5F8EBA0E" w:rsidR="00862364" w:rsidRPr="00970A58" w:rsidRDefault="00161460" w:rsidP="00042AE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HOPESOURCE </w:t>
            </w:r>
            <w:r w:rsidR="008C200D">
              <w:rPr>
                <w:rFonts w:cstheme="minorHAnsi"/>
              </w:rPr>
              <w:t xml:space="preserve">ASSISTS </w:t>
            </w:r>
            <w:r w:rsidR="00FD5FCE">
              <w:rPr>
                <w:rFonts w:cstheme="minorHAnsi"/>
              </w:rPr>
              <w:t xml:space="preserve">YOUNG </w:t>
            </w:r>
            <w:r w:rsidR="008C200D">
              <w:rPr>
                <w:rFonts w:cstheme="minorHAnsi"/>
              </w:rPr>
              <w:t>RENTERS WITH EVICTION PR</w:t>
            </w:r>
            <w:r w:rsidR="00695830">
              <w:rPr>
                <w:rFonts w:cstheme="minorHAnsi"/>
              </w:rPr>
              <w:t>E</w:t>
            </w:r>
            <w:r w:rsidR="008C200D">
              <w:rPr>
                <w:rFonts w:cstheme="minorHAnsi"/>
              </w:rPr>
              <w:t>VENTION PROGRAM</w:t>
            </w:r>
          </w:p>
          <w:p w14:paraId="385C3859" w14:textId="27773F83" w:rsidR="009E3737" w:rsidRDefault="009E3737" w:rsidP="00042AEE">
            <w:pPr>
              <w:rPr>
                <w:rFonts w:cstheme="minorHAnsi"/>
              </w:rPr>
            </w:pPr>
          </w:p>
          <w:p w14:paraId="7D195CC8" w14:textId="467B6AE7" w:rsidR="008C200D" w:rsidRDefault="008C200D" w:rsidP="00042AE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loss of a job can result in </w:t>
            </w:r>
            <w:r w:rsidR="00E12F61">
              <w:rPr>
                <w:rFonts w:cstheme="minorHAnsi"/>
              </w:rPr>
              <w:t>a person</w:t>
            </w:r>
            <w:r>
              <w:rPr>
                <w:rFonts w:cstheme="minorHAnsi"/>
              </w:rPr>
              <w:t xml:space="preserve"> struggling to pay rent and facing eviction. HopeSource is ready to help with a program designed to prevent homelessness </w:t>
            </w:r>
            <w:r w:rsidR="00C2241D">
              <w:rPr>
                <w:rFonts w:cstheme="minorHAnsi"/>
              </w:rPr>
              <w:t>due to</w:t>
            </w:r>
            <w:r>
              <w:rPr>
                <w:rFonts w:cstheme="minorHAnsi"/>
              </w:rPr>
              <w:t xml:space="preserve"> COVID-19</w:t>
            </w:r>
            <w:r w:rsidR="00C2241D">
              <w:rPr>
                <w:rFonts w:cstheme="minorHAnsi"/>
              </w:rPr>
              <w:t xml:space="preserve"> impacts</w:t>
            </w:r>
            <w:r>
              <w:rPr>
                <w:rFonts w:cstheme="minorHAnsi"/>
              </w:rPr>
              <w:t>.</w:t>
            </w:r>
          </w:p>
          <w:p w14:paraId="1127E601" w14:textId="42AF6810" w:rsidR="008C200D" w:rsidRDefault="008C200D" w:rsidP="00042AEE">
            <w:pPr>
              <w:rPr>
                <w:rFonts w:cstheme="minorHAnsi"/>
              </w:rPr>
            </w:pPr>
          </w:p>
          <w:p w14:paraId="5E381463" w14:textId="6E9E4EE6" w:rsidR="008C200D" w:rsidRDefault="00694DA2" w:rsidP="00042AEE">
            <w:pPr>
              <w:rPr>
                <w:rFonts w:cstheme="minorHAnsi"/>
              </w:rPr>
            </w:pPr>
            <w:r>
              <w:rPr>
                <w:rFonts w:cstheme="minorHAnsi"/>
              </w:rPr>
              <w:t>An</w:t>
            </w:r>
            <w:r w:rsidR="00BB16BC">
              <w:rPr>
                <w:rFonts w:cstheme="minorHAnsi"/>
              </w:rPr>
              <w:t xml:space="preserve"> Eviction Rent Assistance</w:t>
            </w:r>
            <w:r w:rsidRPr="00694DA2">
              <w:rPr>
                <w:rFonts w:cstheme="minorHAnsi"/>
                <w:color w:val="C00000"/>
              </w:rPr>
              <w:t xml:space="preserve"> </w:t>
            </w:r>
            <w:r w:rsidR="00BB16BC">
              <w:rPr>
                <w:rFonts w:cstheme="minorHAnsi"/>
              </w:rPr>
              <w:t>P</w:t>
            </w:r>
            <w:r w:rsidRPr="00694DA2">
              <w:rPr>
                <w:rFonts w:cstheme="minorHAnsi"/>
              </w:rPr>
              <w:t xml:space="preserve">rogram </w:t>
            </w:r>
            <w:r w:rsidR="008C200D">
              <w:rPr>
                <w:rFonts w:cstheme="minorHAnsi"/>
              </w:rPr>
              <w:t xml:space="preserve">is available now to </w:t>
            </w:r>
            <w:r w:rsidR="00E12F61">
              <w:rPr>
                <w:rFonts w:cstheme="minorHAnsi"/>
              </w:rPr>
              <w:t xml:space="preserve">Grant </w:t>
            </w:r>
            <w:r w:rsidR="00CE0E5F">
              <w:rPr>
                <w:rFonts w:cstheme="minorHAnsi"/>
              </w:rPr>
              <w:t xml:space="preserve">and Adams </w:t>
            </w:r>
            <w:r w:rsidR="00E12F61">
              <w:rPr>
                <w:rFonts w:cstheme="minorHAnsi"/>
              </w:rPr>
              <w:t xml:space="preserve">County </w:t>
            </w:r>
            <w:r w:rsidR="00C93488">
              <w:rPr>
                <w:rFonts w:cstheme="minorHAnsi"/>
              </w:rPr>
              <w:t>residents</w:t>
            </w:r>
            <w:r w:rsidR="00E12F61">
              <w:rPr>
                <w:rFonts w:cstheme="minorHAnsi"/>
              </w:rPr>
              <w:t xml:space="preserve">, age 18-24, who need financial help to remain in their current home. </w:t>
            </w:r>
          </w:p>
          <w:p w14:paraId="5C11D296" w14:textId="32C8A0CE" w:rsidR="008C200D" w:rsidRDefault="008C200D" w:rsidP="00042AEE">
            <w:pPr>
              <w:rPr>
                <w:rFonts w:cstheme="minorHAnsi"/>
              </w:rPr>
            </w:pPr>
          </w:p>
          <w:p w14:paraId="55CDD048" w14:textId="7796961F" w:rsidR="008C200D" w:rsidRPr="00694DA2" w:rsidRDefault="008C200D" w:rsidP="00042AEE">
            <w:pPr>
              <w:rPr>
                <w:rFonts w:cstheme="minorHAnsi"/>
                <w:color w:val="C00000"/>
              </w:rPr>
            </w:pPr>
            <w:r>
              <w:rPr>
                <w:rFonts w:cstheme="minorHAnsi"/>
              </w:rPr>
              <w:t>The program is funded by the federal CARES Act through the Washington State Department of Commerce</w:t>
            </w:r>
            <w:r w:rsidR="00295ABB">
              <w:rPr>
                <w:rFonts w:cstheme="minorHAnsi"/>
              </w:rPr>
              <w:t xml:space="preserve">. More than </w:t>
            </w:r>
            <w:r w:rsidR="00BB16BC">
              <w:rPr>
                <w:rFonts w:cstheme="minorHAnsi"/>
              </w:rPr>
              <w:t>$1</w:t>
            </w:r>
            <w:r w:rsidR="00CE0E5F">
              <w:rPr>
                <w:rFonts w:cstheme="minorHAnsi"/>
              </w:rPr>
              <w:t>10</w:t>
            </w:r>
            <w:r w:rsidR="00BB16BC">
              <w:rPr>
                <w:rFonts w:cstheme="minorHAnsi"/>
              </w:rPr>
              <w:t>,000 will be available for residents</w:t>
            </w:r>
            <w:r w:rsidR="00295ABB">
              <w:rPr>
                <w:rFonts w:cstheme="minorHAnsi"/>
              </w:rPr>
              <w:t xml:space="preserve"> in these two counties</w:t>
            </w:r>
            <w:r w:rsidRPr="00694DA2">
              <w:rPr>
                <w:rFonts w:cstheme="minorHAnsi"/>
                <w:color w:val="C00000"/>
              </w:rPr>
              <w:t xml:space="preserve">. </w:t>
            </w:r>
          </w:p>
          <w:p w14:paraId="294E6A3A" w14:textId="404E0D6F" w:rsidR="008C200D" w:rsidRDefault="008C200D" w:rsidP="00042AEE">
            <w:pPr>
              <w:rPr>
                <w:rFonts w:cstheme="minorHAnsi"/>
              </w:rPr>
            </w:pPr>
          </w:p>
          <w:p w14:paraId="0D66376A" w14:textId="129E0018" w:rsidR="008C200D" w:rsidRDefault="008C200D" w:rsidP="00042AEE">
            <w:pPr>
              <w:rPr>
                <w:rFonts w:cstheme="minorHAnsi"/>
              </w:rPr>
            </w:pPr>
            <w:r>
              <w:rPr>
                <w:rFonts w:cstheme="minorHAnsi"/>
              </w:rPr>
              <w:t>To qualify</w:t>
            </w:r>
            <w:r w:rsidR="00E12F61">
              <w:rPr>
                <w:rFonts w:cstheme="minorHAnsi"/>
              </w:rPr>
              <w:t xml:space="preserve"> for this program</w:t>
            </w:r>
            <w:r>
              <w:rPr>
                <w:rFonts w:cstheme="minorHAnsi"/>
              </w:rPr>
              <w:t xml:space="preserve">, </w:t>
            </w:r>
            <w:r w:rsidR="002B408B">
              <w:rPr>
                <w:rFonts w:cstheme="minorHAnsi"/>
              </w:rPr>
              <w:t>renters</w:t>
            </w:r>
            <w:r>
              <w:rPr>
                <w:rFonts w:cstheme="minorHAnsi"/>
              </w:rPr>
              <w:t xml:space="preserve"> must have income </w:t>
            </w:r>
            <w:r w:rsidR="002B408B">
              <w:rPr>
                <w:rFonts w:cstheme="minorHAnsi"/>
              </w:rPr>
              <w:t xml:space="preserve">that is </w:t>
            </w:r>
            <w:r w:rsidR="00D35F56">
              <w:rPr>
                <w:rFonts w:cstheme="minorHAnsi"/>
              </w:rPr>
              <w:t xml:space="preserve">at or below </w:t>
            </w:r>
            <w:r>
              <w:rPr>
                <w:rFonts w:cstheme="minorHAnsi"/>
              </w:rPr>
              <w:t xml:space="preserve">50% </w:t>
            </w:r>
            <w:r w:rsidR="002B408B">
              <w:rPr>
                <w:rFonts w:cstheme="minorHAnsi"/>
              </w:rPr>
              <w:t xml:space="preserve">of the </w:t>
            </w:r>
            <w:r>
              <w:rPr>
                <w:rFonts w:cstheme="minorHAnsi"/>
              </w:rPr>
              <w:t>Area Medium Income</w:t>
            </w:r>
            <w:r w:rsidR="002B408B">
              <w:rPr>
                <w:rFonts w:cstheme="minorHAnsi"/>
              </w:rPr>
              <w:t xml:space="preserve">. For example, a household of two earning </w:t>
            </w:r>
            <w:r w:rsidR="007C70F3">
              <w:rPr>
                <w:rFonts w:cstheme="minorHAnsi"/>
              </w:rPr>
              <w:t>$2,500 or less a month could potentially qualify for assistance.</w:t>
            </w:r>
            <w:r w:rsidR="004946F9">
              <w:rPr>
                <w:rFonts w:cstheme="minorHAnsi"/>
              </w:rPr>
              <w:t xml:space="preserve"> The applicants must meet other criteria as well, such as having unpaid rent since March 1.</w:t>
            </w:r>
          </w:p>
          <w:p w14:paraId="6BA05601" w14:textId="011067B7" w:rsidR="00581E00" w:rsidRDefault="00581E00" w:rsidP="00042AEE">
            <w:pPr>
              <w:rPr>
                <w:rFonts w:cstheme="minorHAnsi"/>
              </w:rPr>
            </w:pPr>
          </w:p>
          <w:p w14:paraId="4970684D" w14:textId="77777777" w:rsidR="00694DA2" w:rsidRDefault="00694DA2" w:rsidP="00694DA2">
            <w:pPr>
              <w:rPr>
                <w:rFonts w:cstheme="minorHAnsi"/>
              </w:rPr>
            </w:pPr>
            <w:r>
              <w:rPr>
                <w:rFonts w:cstheme="minorHAnsi"/>
              </w:rPr>
              <w:t>Keeping people safely housed and preventing homelessness is a core mission of HopeSource, said Susan Grindle, CEO of the community action agency serving Central Washington.</w:t>
            </w:r>
          </w:p>
          <w:p w14:paraId="11DFABD7" w14:textId="5D0117E3" w:rsidR="007C70F3" w:rsidRDefault="007C70F3" w:rsidP="00042AEE">
            <w:pPr>
              <w:rPr>
                <w:rFonts w:cstheme="minorHAnsi"/>
              </w:rPr>
            </w:pPr>
          </w:p>
          <w:p w14:paraId="7F9D4891" w14:textId="51EC7395" w:rsidR="0061027E" w:rsidRDefault="00581E00" w:rsidP="00581E00">
            <w:r>
              <w:t>“</w:t>
            </w:r>
            <w:r w:rsidR="0061027E">
              <w:t>P</w:t>
            </w:r>
            <w:r>
              <w:t xml:space="preserve">eople most impacted by disruptions in employment </w:t>
            </w:r>
            <w:r w:rsidR="0061027E">
              <w:t>and other crises</w:t>
            </w:r>
            <w:r>
              <w:t xml:space="preserve"> are </w:t>
            </w:r>
            <w:r w:rsidR="00BB2677">
              <w:t>often</w:t>
            </w:r>
            <w:r>
              <w:t xml:space="preserve"> </w:t>
            </w:r>
            <w:r w:rsidR="00BB2677">
              <w:t>younger</w:t>
            </w:r>
            <w:r w:rsidR="0061027E">
              <w:t>,” Grindle said. “</w:t>
            </w:r>
            <w:r>
              <w:t xml:space="preserve">They have fewer resources to fall back on and fewer support systems to help them through </w:t>
            </w:r>
            <w:r w:rsidR="0061027E">
              <w:t>hard times</w:t>
            </w:r>
            <w:r>
              <w:t xml:space="preserve">. When any segment of </w:t>
            </w:r>
            <w:r w:rsidR="0061027E">
              <w:t>our</w:t>
            </w:r>
            <w:r>
              <w:t xml:space="preserve"> community suffer</w:t>
            </w:r>
            <w:r w:rsidR="0061027E">
              <w:t>s</w:t>
            </w:r>
            <w:r>
              <w:t>, the whole community suffers</w:t>
            </w:r>
            <w:r w:rsidR="0061027E">
              <w:t>.”</w:t>
            </w:r>
          </w:p>
          <w:p w14:paraId="255B96F1" w14:textId="5C11D4F1" w:rsidR="0061027E" w:rsidRDefault="0061027E" w:rsidP="00581E00"/>
          <w:p w14:paraId="7D603979" w14:textId="670A1C58" w:rsidR="001B1838" w:rsidRDefault="000204AD" w:rsidP="001B1838">
            <w:r>
              <w:t xml:space="preserve">People </w:t>
            </w:r>
            <w:r w:rsidRPr="00D935F9">
              <w:t>can apply</w:t>
            </w:r>
            <w:r>
              <w:t xml:space="preserve"> for the program</w:t>
            </w:r>
            <w:r w:rsidRPr="00D935F9">
              <w:t xml:space="preserve"> at </w:t>
            </w:r>
            <w:hyperlink r:id="rId8" w:history="1">
              <w:r w:rsidRPr="00D935F9">
                <w:rPr>
                  <w:rStyle w:val="Hyperlink"/>
                  <w:color w:val="auto"/>
                </w:rPr>
                <w:t>www.hopesource.us</w:t>
              </w:r>
            </w:hyperlink>
            <w:r w:rsidRPr="00D935F9">
              <w:t xml:space="preserve">. Choose the round </w:t>
            </w:r>
            <w:r>
              <w:t>“</w:t>
            </w:r>
            <w:r w:rsidRPr="00D935F9">
              <w:t>Need Help?</w:t>
            </w:r>
            <w:r>
              <w:t>”</w:t>
            </w:r>
            <w:r w:rsidRPr="00D935F9">
              <w:t xml:space="preserve"> button and specify Housing/Rent Assistance on </w:t>
            </w:r>
            <w:r w:rsidRPr="00BB16BC">
              <w:t xml:space="preserve">the application. You can also call </w:t>
            </w:r>
            <w:r w:rsidR="00D26D28" w:rsidRPr="00BB16BC">
              <w:t>(</w:t>
            </w:r>
            <w:r w:rsidR="001B1838" w:rsidRPr="00BB16BC">
              <w:t>509</w:t>
            </w:r>
            <w:r w:rsidR="00D26D28" w:rsidRPr="00BB16BC">
              <w:t xml:space="preserve">) </w:t>
            </w:r>
            <w:r w:rsidR="001B1838" w:rsidRPr="00BB16BC">
              <w:t>707</w:t>
            </w:r>
            <w:r w:rsidR="00D26D28" w:rsidRPr="00BB16BC">
              <w:t>-</w:t>
            </w:r>
            <w:r w:rsidR="001B1838" w:rsidRPr="00BB16BC">
              <w:t>0179</w:t>
            </w:r>
            <w:r w:rsidR="00BB16BC" w:rsidRPr="00BB16BC">
              <w:t xml:space="preserve">. </w:t>
            </w:r>
          </w:p>
          <w:p w14:paraId="09EE4A31" w14:textId="77777777" w:rsidR="00295ABB" w:rsidRPr="00BB16BC" w:rsidRDefault="00295ABB" w:rsidP="001B1838"/>
          <w:p w14:paraId="65DFA9C0" w14:textId="7497C59D" w:rsidR="00BB16BC" w:rsidRPr="00BB16BC" w:rsidRDefault="00BB16BC" w:rsidP="001B1838">
            <w:r w:rsidRPr="00BB16BC">
              <w:t>Renters older than age 24 are encouraged to seek services through the Housing Authority of Grant County.</w:t>
            </w:r>
          </w:p>
          <w:p w14:paraId="666AF57C" w14:textId="5038BCD7" w:rsidR="002B408B" w:rsidRPr="00694DA2" w:rsidRDefault="0061027E" w:rsidP="00042AEE">
            <w:pPr>
              <w:rPr>
                <w:rFonts w:cstheme="minorHAnsi"/>
                <w:color w:val="C00000"/>
              </w:rPr>
            </w:pPr>
            <w:r w:rsidRPr="00694DA2">
              <w:rPr>
                <w:color w:val="C00000"/>
              </w:rPr>
              <w:t xml:space="preserve"> </w:t>
            </w:r>
            <w:r w:rsidR="00581E00" w:rsidRPr="00694DA2">
              <w:rPr>
                <w:color w:val="C00000"/>
              </w:rPr>
              <w:t xml:space="preserve"> </w:t>
            </w:r>
          </w:p>
          <w:p w14:paraId="5C4F304C" w14:textId="7CAE1B9B" w:rsidR="00970A58" w:rsidRPr="00970A58" w:rsidRDefault="00970A58" w:rsidP="00042AEE">
            <w:pPr>
              <w:rPr>
                <w:rFonts w:cstheme="minorHAnsi"/>
              </w:rPr>
            </w:pPr>
          </w:p>
        </w:tc>
      </w:tr>
      <w:tr w:rsidR="00422101" w:rsidRPr="00F552DD" w14:paraId="6E905CED" w14:textId="77777777" w:rsidTr="002C4E27">
        <w:trPr>
          <w:trHeight w:val="42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F08284A" w14:textId="2EA68F75" w:rsidR="00422101" w:rsidRPr="00F552DD" w:rsidRDefault="00422101" w:rsidP="007B6058">
            <w:pPr>
              <w:jc w:val="center"/>
              <w:rPr>
                <w:rFonts w:ascii="Comfortaa" w:hAnsi="Comfortaa" w:cs="Segoe UI"/>
              </w:rPr>
            </w:pPr>
            <w:r w:rsidRPr="00F552DD">
              <w:rPr>
                <w:rFonts w:ascii="Comfortaa" w:hAnsi="Comfortaa" w:cs="Segoe UI"/>
                <w:noProof/>
              </w:rPr>
              <w:drawing>
                <wp:inline distT="0" distB="0" distL="0" distR="0" wp14:anchorId="46DA50C6" wp14:editId="3DFF71A0">
                  <wp:extent cx="147021" cy="208280"/>
                  <wp:effectExtent l="0" t="0" r="5715" b="1270"/>
                  <wp:docPr id="5" name="Graphic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cationAsset 3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91" cy="227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FE8F80" w14:textId="77777777" w:rsidR="00422101" w:rsidRPr="00F552DD" w:rsidRDefault="00422101" w:rsidP="007B6058">
            <w:pPr>
              <w:rPr>
                <w:rFonts w:ascii="Comfortaa" w:hAnsi="Comfortaa"/>
              </w:rPr>
            </w:pPr>
          </w:p>
        </w:tc>
        <w:tc>
          <w:tcPr>
            <w:tcW w:w="64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66A9E4" w14:textId="28893B7E" w:rsidR="00422101" w:rsidRPr="00F552DD" w:rsidRDefault="00422101" w:rsidP="007B6058">
            <w:pPr>
              <w:rPr>
                <w:rFonts w:ascii="Comfortaa" w:hAnsi="Comfortaa"/>
              </w:rPr>
            </w:pPr>
          </w:p>
        </w:tc>
      </w:tr>
      <w:tr w:rsidR="00422101" w:rsidRPr="00F552DD" w14:paraId="76291361" w14:textId="77777777" w:rsidTr="002C4E27">
        <w:trPr>
          <w:trHeight w:val="6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0A8EC51" w14:textId="4BEE420E" w:rsidR="00422101" w:rsidRPr="00C671E5" w:rsidRDefault="007A33A9" w:rsidP="007B6058">
            <w:pPr>
              <w:jc w:val="center"/>
              <w:rPr>
                <w:rFonts w:ascii="Comfortaa" w:hAnsi="Comfortaa" w:cs="Segoe UI"/>
                <w:color w:val="595959" w:themeColor="text1" w:themeTint="A6"/>
                <w:sz w:val="18"/>
                <w:szCs w:val="18"/>
              </w:rPr>
            </w:pPr>
            <w:r>
              <w:rPr>
                <w:rFonts w:ascii="Comfortaa" w:hAnsi="Comfortaa" w:cs="Segoe UI"/>
                <w:color w:val="595959" w:themeColor="text1" w:themeTint="A6"/>
                <w:sz w:val="18"/>
                <w:szCs w:val="18"/>
              </w:rPr>
              <w:t>7</w:t>
            </w:r>
            <w:r w:rsidR="00422101" w:rsidRPr="00C671E5">
              <w:rPr>
                <w:rFonts w:ascii="Comfortaa" w:hAnsi="Comfortaa" w:cs="Segoe UI"/>
                <w:color w:val="595959" w:themeColor="text1" w:themeTint="A6"/>
                <w:sz w:val="18"/>
                <w:szCs w:val="18"/>
              </w:rPr>
              <w:t>00 E. Mountain View</w:t>
            </w:r>
            <w:r w:rsidR="00771F48">
              <w:rPr>
                <w:rFonts w:ascii="Comfortaa" w:hAnsi="Comfortaa" w:cs="Segoe UI"/>
                <w:color w:val="595959" w:themeColor="text1" w:themeTint="A6"/>
                <w:sz w:val="18"/>
                <w:szCs w:val="18"/>
              </w:rPr>
              <w:t xml:space="preserve"> Ave.</w:t>
            </w:r>
          </w:p>
          <w:p w14:paraId="78A2B873" w14:textId="6B0E097E" w:rsidR="00422101" w:rsidRPr="00C671E5" w:rsidRDefault="00422101" w:rsidP="007B6058">
            <w:pPr>
              <w:jc w:val="center"/>
              <w:rPr>
                <w:rFonts w:ascii="Comfortaa" w:hAnsi="Comfortaa" w:cs="Segoe UI"/>
                <w:sz w:val="18"/>
                <w:szCs w:val="18"/>
              </w:rPr>
            </w:pPr>
            <w:r w:rsidRPr="00C671E5">
              <w:rPr>
                <w:rFonts w:ascii="Comfortaa" w:hAnsi="Comfortaa" w:cs="Segoe UI"/>
                <w:color w:val="595959" w:themeColor="text1" w:themeTint="A6"/>
                <w:sz w:val="18"/>
                <w:szCs w:val="18"/>
              </w:rPr>
              <w:t>Suite 501</w:t>
            </w:r>
            <w:r w:rsidRPr="00C671E5">
              <w:rPr>
                <w:rFonts w:ascii="Comfortaa" w:hAnsi="Comfortaa" w:cs="Segoe UI"/>
                <w:color w:val="595959" w:themeColor="text1" w:themeTint="A6"/>
                <w:sz w:val="18"/>
                <w:szCs w:val="18"/>
              </w:rPr>
              <w:br/>
              <w:t>Ellensburg</w:t>
            </w:r>
            <w:r w:rsidR="00771F48">
              <w:rPr>
                <w:rFonts w:ascii="Comfortaa" w:hAnsi="Comfortaa" w:cs="Segoe UI"/>
                <w:color w:val="595959" w:themeColor="text1" w:themeTint="A6"/>
                <w:sz w:val="18"/>
                <w:szCs w:val="18"/>
              </w:rPr>
              <w:t>,</w:t>
            </w:r>
            <w:r w:rsidRPr="00C671E5">
              <w:rPr>
                <w:rFonts w:ascii="Comfortaa" w:hAnsi="Comfortaa" w:cs="Segoe UI"/>
                <w:color w:val="595959" w:themeColor="text1" w:themeTint="A6"/>
                <w:sz w:val="18"/>
                <w:szCs w:val="18"/>
              </w:rPr>
              <w:t xml:space="preserve"> WA 98926</w:t>
            </w:r>
          </w:p>
        </w:tc>
        <w:tc>
          <w:tcPr>
            <w:tcW w:w="3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8B1448" w14:textId="77777777" w:rsidR="00422101" w:rsidRPr="00F552DD" w:rsidRDefault="00422101" w:rsidP="007B6058">
            <w:pPr>
              <w:rPr>
                <w:rFonts w:ascii="Comfortaa" w:hAnsi="Comfortaa"/>
              </w:rPr>
            </w:pPr>
          </w:p>
        </w:tc>
        <w:tc>
          <w:tcPr>
            <w:tcW w:w="64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95D56B" w14:textId="77777777" w:rsidR="00422101" w:rsidRPr="00F552DD" w:rsidRDefault="00422101" w:rsidP="007B6058">
            <w:pPr>
              <w:pStyle w:val="Salutation"/>
              <w:rPr>
                <w:rFonts w:ascii="Comfortaa" w:hAnsi="Comfortaa" w:cs="Segoe UI"/>
              </w:rPr>
            </w:pPr>
          </w:p>
        </w:tc>
      </w:tr>
      <w:tr w:rsidR="00422101" w:rsidRPr="00F552DD" w14:paraId="03E13BF7" w14:textId="77777777" w:rsidTr="002C4E27">
        <w:trPr>
          <w:trHeight w:val="243"/>
        </w:trPr>
        <w:tc>
          <w:tcPr>
            <w:tcW w:w="2880" w:type="dxa"/>
            <w:tcBorders>
              <w:top w:val="nil"/>
              <w:left w:val="nil"/>
              <w:bottom w:val="single" w:sz="12" w:space="0" w:color="0099CC"/>
              <w:right w:val="nil"/>
            </w:tcBorders>
          </w:tcPr>
          <w:p w14:paraId="46435982" w14:textId="77777777" w:rsidR="00422101" w:rsidRPr="00C671E5" w:rsidRDefault="00422101" w:rsidP="007B6058">
            <w:pPr>
              <w:jc w:val="center"/>
              <w:rPr>
                <w:rFonts w:ascii="Comfortaa" w:hAnsi="Comfortaa" w:cs="Segoe UI"/>
                <w:sz w:val="18"/>
                <w:szCs w:val="18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CDB1C9" w14:textId="77777777" w:rsidR="00422101" w:rsidRPr="00F552DD" w:rsidRDefault="00422101" w:rsidP="007B6058">
            <w:pPr>
              <w:rPr>
                <w:rFonts w:ascii="Comfortaa" w:hAnsi="Comfortaa"/>
              </w:rPr>
            </w:pPr>
          </w:p>
        </w:tc>
        <w:tc>
          <w:tcPr>
            <w:tcW w:w="64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2A3288" w14:textId="77777777" w:rsidR="00422101" w:rsidRPr="00F552DD" w:rsidRDefault="00422101" w:rsidP="007B6058">
            <w:pPr>
              <w:pStyle w:val="Salutation"/>
              <w:rPr>
                <w:rFonts w:ascii="Comfortaa" w:hAnsi="Comfortaa" w:cs="Segoe UI"/>
              </w:rPr>
            </w:pPr>
          </w:p>
        </w:tc>
      </w:tr>
      <w:tr w:rsidR="00422101" w:rsidRPr="00F552DD" w14:paraId="66E2F526" w14:textId="77777777" w:rsidTr="002C4E27">
        <w:trPr>
          <w:trHeight w:val="267"/>
        </w:trPr>
        <w:tc>
          <w:tcPr>
            <w:tcW w:w="2880" w:type="dxa"/>
            <w:tcBorders>
              <w:top w:val="single" w:sz="12" w:space="0" w:color="0099CC"/>
              <w:left w:val="nil"/>
              <w:bottom w:val="nil"/>
              <w:right w:val="nil"/>
            </w:tcBorders>
          </w:tcPr>
          <w:p w14:paraId="11AC683C" w14:textId="77777777" w:rsidR="00422101" w:rsidRPr="00C671E5" w:rsidRDefault="00422101" w:rsidP="007B6058">
            <w:pPr>
              <w:jc w:val="center"/>
              <w:rPr>
                <w:rFonts w:ascii="Comfortaa" w:hAnsi="Comfortaa" w:cs="Segoe UI"/>
                <w:sz w:val="18"/>
                <w:szCs w:val="18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277D2C" w14:textId="77777777" w:rsidR="00422101" w:rsidRPr="00F552DD" w:rsidRDefault="00422101" w:rsidP="007B6058">
            <w:pPr>
              <w:rPr>
                <w:rFonts w:ascii="Comfortaa" w:hAnsi="Comfortaa"/>
              </w:rPr>
            </w:pPr>
          </w:p>
        </w:tc>
        <w:tc>
          <w:tcPr>
            <w:tcW w:w="64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F9BD60" w14:textId="77777777" w:rsidR="00422101" w:rsidRPr="00F552DD" w:rsidRDefault="00422101" w:rsidP="007B6058">
            <w:pPr>
              <w:pStyle w:val="Salutation"/>
              <w:rPr>
                <w:rFonts w:ascii="Comfortaa" w:hAnsi="Comfortaa" w:cs="Segoe UI"/>
              </w:rPr>
            </w:pPr>
          </w:p>
        </w:tc>
      </w:tr>
      <w:tr w:rsidR="00422101" w:rsidRPr="00F552DD" w14:paraId="7903245E" w14:textId="77777777" w:rsidTr="002C4E27">
        <w:trPr>
          <w:trHeight w:val="417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7FFF519" w14:textId="36FA78E5" w:rsidR="00422101" w:rsidRPr="00C671E5" w:rsidRDefault="00422101" w:rsidP="007B6058">
            <w:pPr>
              <w:jc w:val="center"/>
              <w:rPr>
                <w:rFonts w:ascii="Comfortaa" w:hAnsi="Comfortaa" w:cs="Segoe UI"/>
                <w:sz w:val="18"/>
                <w:szCs w:val="18"/>
              </w:rPr>
            </w:pPr>
            <w:r w:rsidRPr="00C671E5">
              <w:rPr>
                <w:rFonts w:ascii="Comfortaa" w:hAnsi="Comfortaa" w:cs="Segoe UI"/>
                <w:noProof/>
                <w:sz w:val="18"/>
                <w:szCs w:val="18"/>
              </w:rPr>
              <w:drawing>
                <wp:inline distT="0" distB="0" distL="0" distR="0" wp14:anchorId="41FCCA26" wp14:editId="5CC8A85C">
                  <wp:extent cx="228600" cy="174812"/>
                  <wp:effectExtent l="0" t="0" r="0" b="0"/>
                  <wp:docPr id="6" name="Graphic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honeAsset 4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706" cy="18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6A8F82" w14:textId="77777777" w:rsidR="00422101" w:rsidRPr="00F552DD" w:rsidRDefault="00422101" w:rsidP="007B6058">
            <w:pPr>
              <w:rPr>
                <w:rFonts w:ascii="Comfortaa" w:hAnsi="Comfortaa"/>
              </w:rPr>
            </w:pPr>
          </w:p>
        </w:tc>
        <w:tc>
          <w:tcPr>
            <w:tcW w:w="64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103662" w14:textId="77777777" w:rsidR="00422101" w:rsidRPr="00F552DD" w:rsidRDefault="00422101" w:rsidP="007B6058">
            <w:pPr>
              <w:pStyle w:val="Salutation"/>
              <w:rPr>
                <w:rFonts w:ascii="Comfortaa" w:hAnsi="Comfortaa" w:cs="Segoe UI"/>
              </w:rPr>
            </w:pPr>
          </w:p>
        </w:tc>
      </w:tr>
      <w:tr w:rsidR="00422101" w:rsidRPr="00F552DD" w14:paraId="6FF8EE37" w14:textId="77777777" w:rsidTr="002C4E27">
        <w:trPr>
          <w:trHeight w:val="30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349ECC8" w14:textId="148F04F6" w:rsidR="00422101" w:rsidRPr="00C671E5" w:rsidRDefault="00422101" w:rsidP="007B6058">
            <w:pPr>
              <w:jc w:val="center"/>
              <w:rPr>
                <w:rFonts w:ascii="Comfortaa" w:hAnsi="Comfortaa" w:cs="Segoe UI"/>
                <w:color w:val="595959" w:themeColor="text1" w:themeTint="A6"/>
                <w:sz w:val="18"/>
                <w:szCs w:val="18"/>
                <w:shd w:val="clear" w:color="auto" w:fill="FFFFFF"/>
              </w:rPr>
            </w:pPr>
            <w:r w:rsidRPr="00C671E5">
              <w:rPr>
                <w:rFonts w:ascii="Comfortaa" w:hAnsi="Comfortaa" w:cs="Segoe UI"/>
                <w:color w:val="595959" w:themeColor="text1" w:themeTint="A6"/>
                <w:sz w:val="18"/>
                <w:szCs w:val="18"/>
                <w:shd w:val="clear" w:color="auto" w:fill="FFFFFF"/>
              </w:rPr>
              <w:t>P:</w:t>
            </w:r>
            <w:r w:rsidR="00771F48">
              <w:rPr>
                <w:rFonts w:ascii="Comfortaa" w:hAnsi="Comfortaa" w:cs="Segoe UI"/>
                <w:color w:val="595959" w:themeColor="text1" w:themeTint="A6"/>
                <w:sz w:val="18"/>
                <w:szCs w:val="18"/>
                <w:shd w:val="clear" w:color="auto" w:fill="FFFFFF"/>
              </w:rPr>
              <w:t xml:space="preserve"> </w:t>
            </w:r>
            <w:r w:rsidRPr="00C671E5">
              <w:rPr>
                <w:rFonts w:ascii="Comfortaa" w:hAnsi="Comfortaa" w:cs="Segoe UI"/>
                <w:color w:val="595959" w:themeColor="text1" w:themeTint="A6"/>
                <w:sz w:val="18"/>
                <w:szCs w:val="18"/>
                <w:shd w:val="clear" w:color="auto" w:fill="FFFFFF"/>
              </w:rPr>
              <w:t>509.925.1448</w:t>
            </w:r>
          </w:p>
        </w:tc>
        <w:tc>
          <w:tcPr>
            <w:tcW w:w="3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0D71B9" w14:textId="77777777" w:rsidR="00422101" w:rsidRPr="00F552DD" w:rsidRDefault="00422101" w:rsidP="007B6058">
            <w:pPr>
              <w:rPr>
                <w:rFonts w:ascii="Comfortaa" w:hAnsi="Comfortaa"/>
              </w:rPr>
            </w:pPr>
          </w:p>
        </w:tc>
        <w:tc>
          <w:tcPr>
            <w:tcW w:w="64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CF5B93" w14:textId="77777777" w:rsidR="00422101" w:rsidRPr="00F552DD" w:rsidRDefault="00422101" w:rsidP="007B6058">
            <w:pPr>
              <w:rPr>
                <w:rFonts w:ascii="Comfortaa" w:hAnsi="Comfortaa"/>
              </w:rPr>
            </w:pPr>
          </w:p>
        </w:tc>
      </w:tr>
      <w:tr w:rsidR="00422101" w:rsidRPr="00F552DD" w14:paraId="424FB6D3" w14:textId="77777777" w:rsidTr="002C4E27">
        <w:trPr>
          <w:trHeight w:val="15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900C18B" w14:textId="004EBD83" w:rsidR="00422101" w:rsidRPr="00C671E5" w:rsidRDefault="00422101" w:rsidP="007B6058">
            <w:pPr>
              <w:jc w:val="center"/>
              <w:rPr>
                <w:rFonts w:ascii="Comfortaa" w:hAnsi="Comfortaa"/>
                <w:color w:val="595959" w:themeColor="text1" w:themeTint="A6"/>
                <w:sz w:val="18"/>
                <w:szCs w:val="18"/>
              </w:rPr>
            </w:pPr>
            <w:r w:rsidRPr="00C671E5">
              <w:rPr>
                <w:rFonts w:ascii="Comfortaa" w:hAnsi="Comfortaa" w:cs="Segoe UI"/>
                <w:color w:val="595959" w:themeColor="text1" w:themeTint="A6"/>
                <w:sz w:val="18"/>
                <w:szCs w:val="18"/>
                <w:shd w:val="clear" w:color="auto" w:fill="FFFFFF"/>
              </w:rPr>
              <w:t>F: 509.925.1204</w:t>
            </w:r>
          </w:p>
        </w:tc>
        <w:tc>
          <w:tcPr>
            <w:tcW w:w="3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0DAEB6" w14:textId="77777777" w:rsidR="00422101" w:rsidRPr="00F552DD" w:rsidRDefault="00422101" w:rsidP="007B6058">
            <w:pPr>
              <w:rPr>
                <w:rFonts w:ascii="Comfortaa" w:hAnsi="Comfortaa"/>
              </w:rPr>
            </w:pPr>
          </w:p>
        </w:tc>
        <w:tc>
          <w:tcPr>
            <w:tcW w:w="64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DFAF2B" w14:textId="77777777" w:rsidR="00422101" w:rsidRPr="00F552DD" w:rsidRDefault="00422101" w:rsidP="007B6058">
            <w:pPr>
              <w:rPr>
                <w:rFonts w:ascii="Comfortaa" w:hAnsi="Comfortaa"/>
              </w:rPr>
            </w:pPr>
          </w:p>
        </w:tc>
      </w:tr>
      <w:tr w:rsidR="00422101" w:rsidRPr="00F552DD" w14:paraId="3FE72822" w14:textId="77777777" w:rsidTr="002C4E27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single" w:sz="12" w:space="0" w:color="0099CC"/>
              <w:right w:val="nil"/>
            </w:tcBorders>
          </w:tcPr>
          <w:p w14:paraId="3BD7AFB0" w14:textId="17D02745" w:rsidR="00422101" w:rsidRPr="00C671E5" w:rsidRDefault="00422101" w:rsidP="007B6058">
            <w:pPr>
              <w:jc w:val="center"/>
              <w:rPr>
                <w:rFonts w:ascii="Comfortaa" w:hAnsi="Comfortaa" w:cs="Segoe UI"/>
                <w:sz w:val="18"/>
                <w:szCs w:val="18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7BC894" w14:textId="77777777" w:rsidR="00422101" w:rsidRPr="00F552DD" w:rsidRDefault="00422101" w:rsidP="007B6058">
            <w:pPr>
              <w:rPr>
                <w:rFonts w:ascii="Comfortaa" w:hAnsi="Comfortaa"/>
              </w:rPr>
            </w:pPr>
          </w:p>
        </w:tc>
        <w:tc>
          <w:tcPr>
            <w:tcW w:w="64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49163E" w14:textId="77777777" w:rsidR="00422101" w:rsidRPr="00F552DD" w:rsidRDefault="00422101" w:rsidP="007B6058">
            <w:pPr>
              <w:rPr>
                <w:rFonts w:ascii="Comfortaa" w:hAnsi="Comfortaa"/>
              </w:rPr>
            </w:pPr>
          </w:p>
        </w:tc>
      </w:tr>
      <w:tr w:rsidR="00422101" w:rsidRPr="00F552DD" w14:paraId="0BED79B7" w14:textId="77777777" w:rsidTr="002C4E27">
        <w:trPr>
          <w:trHeight w:val="258"/>
        </w:trPr>
        <w:tc>
          <w:tcPr>
            <w:tcW w:w="2880" w:type="dxa"/>
            <w:tcBorders>
              <w:top w:val="single" w:sz="12" w:space="0" w:color="0099CC"/>
              <w:left w:val="nil"/>
              <w:bottom w:val="nil"/>
              <w:right w:val="nil"/>
            </w:tcBorders>
          </w:tcPr>
          <w:p w14:paraId="20EBDFCA" w14:textId="77777777" w:rsidR="00422101" w:rsidRPr="00C671E5" w:rsidRDefault="00422101" w:rsidP="007B6058">
            <w:pPr>
              <w:jc w:val="center"/>
              <w:rPr>
                <w:rFonts w:ascii="Comfortaa" w:hAnsi="Comfortaa" w:cs="Segoe UI"/>
                <w:sz w:val="18"/>
                <w:szCs w:val="18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F50E4B" w14:textId="77777777" w:rsidR="00422101" w:rsidRPr="00F552DD" w:rsidRDefault="00422101" w:rsidP="007B6058">
            <w:pPr>
              <w:rPr>
                <w:rFonts w:ascii="Comfortaa" w:hAnsi="Comfortaa"/>
              </w:rPr>
            </w:pPr>
          </w:p>
        </w:tc>
        <w:tc>
          <w:tcPr>
            <w:tcW w:w="64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3218C8" w14:textId="77777777" w:rsidR="00422101" w:rsidRPr="00F552DD" w:rsidRDefault="00422101" w:rsidP="007B6058">
            <w:pPr>
              <w:rPr>
                <w:rFonts w:ascii="Comfortaa" w:hAnsi="Comfortaa"/>
              </w:rPr>
            </w:pPr>
          </w:p>
        </w:tc>
      </w:tr>
      <w:tr w:rsidR="00422101" w:rsidRPr="00F552DD" w14:paraId="2FF24D68" w14:textId="77777777" w:rsidTr="002C4E27">
        <w:trPr>
          <w:trHeight w:val="43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C56130D" w14:textId="0EFA3F84" w:rsidR="00422101" w:rsidRPr="00C671E5" w:rsidRDefault="00422101" w:rsidP="007B6058">
            <w:pPr>
              <w:jc w:val="center"/>
              <w:rPr>
                <w:rFonts w:ascii="Comfortaa" w:hAnsi="Comfortaa" w:cs="Segoe UI"/>
                <w:sz w:val="18"/>
                <w:szCs w:val="18"/>
              </w:rPr>
            </w:pPr>
            <w:r w:rsidRPr="00C671E5">
              <w:rPr>
                <w:rFonts w:ascii="Comfortaa" w:hAnsi="Comfortaa" w:cs="Segoe UI"/>
                <w:noProof/>
                <w:sz w:val="18"/>
                <w:szCs w:val="18"/>
              </w:rPr>
              <w:drawing>
                <wp:inline distT="0" distB="0" distL="0" distR="0" wp14:anchorId="316366BF" wp14:editId="0EA0A398">
                  <wp:extent cx="219075" cy="219075"/>
                  <wp:effectExtent l="0" t="0" r="9525" b="9525"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lobeAsset 5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25C10C" w14:textId="77777777" w:rsidR="00422101" w:rsidRPr="00F552DD" w:rsidRDefault="00422101" w:rsidP="007B6058">
            <w:pPr>
              <w:rPr>
                <w:rFonts w:ascii="Comfortaa" w:hAnsi="Comfortaa"/>
              </w:rPr>
            </w:pPr>
          </w:p>
        </w:tc>
        <w:tc>
          <w:tcPr>
            <w:tcW w:w="64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6BD5B4" w14:textId="77777777" w:rsidR="00422101" w:rsidRPr="00F552DD" w:rsidRDefault="00422101" w:rsidP="007B6058">
            <w:pPr>
              <w:rPr>
                <w:rFonts w:ascii="Comfortaa" w:hAnsi="Comfortaa"/>
              </w:rPr>
            </w:pPr>
          </w:p>
        </w:tc>
      </w:tr>
      <w:tr w:rsidR="00422101" w:rsidRPr="00F552DD" w14:paraId="0294A7D7" w14:textId="77777777" w:rsidTr="002C4E27">
        <w:trPr>
          <w:trHeight w:val="16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12AEA45" w14:textId="277F3E03" w:rsidR="00422101" w:rsidRPr="00C671E5" w:rsidRDefault="00422101" w:rsidP="007B6058">
            <w:pPr>
              <w:jc w:val="center"/>
              <w:rPr>
                <w:rFonts w:ascii="Comfortaa" w:hAnsi="Comfortaa" w:cs="Segoe UI"/>
                <w:color w:val="000000"/>
                <w:sz w:val="18"/>
                <w:szCs w:val="18"/>
                <w:shd w:val="clear" w:color="auto" w:fill="FFFFFF"/>
              </w:rPr>
            </w:pPr>
            <w:r w:rsidRPr="00C671E5">
              <w:rPr>
                <w:rFonts w:ascii="Comfortaa" w:hAnsi="Comfortaa" w:cs="Segoe UI"/>
                <w:color w:val="595959" w:themeColor="text1" w:themeTint="A6"/>
                <w:sz w:val="18"/>
                <w:szCs w:val="18"/>
                <w:shd w:val="clear" w:color="auto" w:fill="FFFFFF"/>
              </w:rPr>
              <w:t>Hopesource.us</w:t>
            </w:r>
          </w:p>
        </w:tc>
        <w:tc>
          <w:tcPr>
            <w:tcW w:w="3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6A2604" w14:textId="77777777" w:rsidR="00422101" w:rsidRPr="00F552DD" w:rsidRDefault="00422101" w:rsidP="007B6058">
            <w:pPr>
              <w:rPr>
                <w:rFonts w:ascii="Comfortaa" w:hAnsi="Comfortaa"/>
              </w:rPr>
            </w:pPr>
          </w:p>
        </w:tc>
        <w:tc>
          <w:tcPr>
            <w:tcW w:w="64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415633" w14:textId="77777777" w:rsidR="00422101" w:rsidRPr="00F552DD" w:rsidRDefault="00422101" w:rsidP="007B6058">
            <w:pPr>
              <w:rPr>
                <w:rFonts w:ascii="Comfortaa" w:hAnsi="Comfortaa"/>
              </w:rPr>
            </w:pPr>
          </w:p>
        </w:tc>
      </w:tr>
      <w:tr w:rsidR="00422101" w:rsidRPr="00F552DD" w14:paraId="4DC4BC1B" w14:textId="77777777" w:rsidTr="002C4E27">
        <w:trPr>
          <w:trHeight w:val="498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AB297A9" w14:textId="77777777" w:rsidR="00422101" w:rsidRPr="00F552DD" w:rsidRDefault="00422101" w:rsidP="007B6058">
            <w:pPr>
              <w:jc w:val="center"/>
              <w:rPr>
                <w:rFonts w:ascii="Comfortaa" w:hAnsi="Comfortaa" w:cs="Segoe UI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7124EE" w14:textId="77777777" w:rsidR="00422101" w:rsidRPr="00F552DD" w:rsidRDefault="00422101" w:rsidP="007B6058">
            <w:pPr>
              <w:rPr>
                <w:rFonts w:ascii="Comfortaa" w:hAnsi="Comfortaa"/>
              </w:rPr>
            </w:pPr>
          </w:p>
        </w:tc>
        <w:tc>
          <w:tcPr>
            <w:tcW w:w="64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A2A5EF" w14:textId="77777777" w:rsidR="00422101" w:rsidRPr="00F552DD" w:rsidRDefault="00422101" w:rsidP="007B6058">
            <w:pPr>
              <w:rPr>
                <w:rFonts w:ascii="Comfortaa" w:hAnsi="Comfortaa"/>
              </w:rPr>
            </w:pPr>
          </w:p>
        </w:tc>
      </w:tr>
    </w:tbl>
    <w:p w14:paraId="75CF5106" w14:textId="6F5D7DFF" w:rsidR="001156A5" w:rsidRPr="00F552DD" w:rsidRDefault="001156A5">
      <w:pPr>
        <w:rPr>
          <w:rFonts w:ascii="Comfortaa" w:hAnsi="Comfortaa"/>
        </w:rPr>
      </w:pPr>
      <w:bookmarkStart w:id="0" w:name="_GoBack"/>
      <w:bookmarkEnd w:id="0"/>
    </w:p>
    <w:sectPr w:rsidR="001156A5" w:rsidRPr="00F552DD" w:rsidSect="00C95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fortaa">
    <w:altName w:val="Calibri"/>
    <w:charset w:val="00"/>
    <w:family w:val="auto"/>
    <w:pitch w:val="variable"/>
    <w:sig w:usb0="20000287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5FA"/>
    <w:rsid w:val="00005E3E"/>
    <w:rsid w:val="000100EC"/>
    <w:rsid w:val="000204AD"/>
    <w:rsid w:val="0003087F"/>
    <w:rsid w:val="00042AEE"/>
    <w:rsid w:val="00064232"/>
    <w:rsid w:val="00072AE4"/>
    <w:rsid w:val="0008316D"/>
    <w:rsid w:val="000B2665"/>
    <w:rsid w:val="000F4C1F"/>
    <w:rsid w:val="001007B8"/>
    <w:rsid w:val="00110037"/>
    <w:rsid w:val="0011043A"/>
    <w:rsid w:val="001156A5"/>
    <w:rsid w:val="00161460"/>
    <w:rsid w:val="00185AC5"/>
    <w:rsid w:val="00191687"/>
    <w:rsid w:val="00193476"/>
    <w:rsid w:val="001B1838"/>
    <w:rsid w:val="001E38C6"/>
    <w:rsid w:val="001F7279"/>
    <w:rsid w:val="00204FA7"/>
    <w:rsid w:val="00253065"/>
    <w:rsid w:val="00285BC8"/>
    <w:rsid w:val="00295ABB"/>
    <w:rsid w:val="002A2F2A"/>
    <w:rsid w:val="002B408B"/>
    <w:rsid w:val="002C4E27"/>
    <w:rsid w:val="002C7729"/>
    <w:rsid w:val="002F3F03"/>
    <w:rsid w:val="003036B5"/>
    <w:rsid w:val="00325DC9"/>
    <w:rsid w:val="003538D5"/>
    <w:rsid w:val="003562BA"/>
    <w:rsid w:val="00364CB4"/>
    <w:rsid w:val="00366E4B"/>
    <w:rsid w:val="00367DF9"/>
    <w:rsid w:val="00381723"/>
    <w:rsid w:val="003B238F"/>
    <w:rsid w:val="003B4F80"/>
    <w:rsid w:val="003D1C0B"/>
    <w:rsid w:val="003E7153"/>
    <w:rsid w:val="00422101"/>
    <w:rsid w:val="00425017"/>
    <w:rsid w:val="00444DF3"/>
    <w:rsid w:val="004622FF"/>
    <w:rsid w:val="00463ECB"/>
    <w:rsid w:val="00480A85"/>
    <w:rsid w:val="00484232"/>
    <w:rsid w:val="004926E1"/>
    <w:rsid w:val="004946F9"/>
    <w:rsid w:val="004D6BF3"/>
    <w:rsid w:val="004D76FC"/>
    <w:rsid w:val="004E0745"/>
    <w:rsid w:val="004F26AE"/>
    <w:rsid w:val="00505018"/>
    <w:rsid w:val="0050594D"/>
    <w:rsid w:val="005152E1"/>
    <w:rsid w:val="00532B52"/>
    <w:rsid w:val="00540A86"/>
    <w:rsid w:val="00554743"/>
    <w:rsid w:val="005634C8"/>
    <w:rsid w:val="00581E00"/>
    <w:rsid w:val="00594FB2"/>
    <w:rsid w:val="005A1C35"/>
    <w:rsid w:val="005D726B"/>
    <w:rsid w:val="005E5F70"/>
    <w:rsid w:val="005E6B74"/>
    <w:rsid w:val="0060353B"/>
    <w:rsid w:val="00603A7D"/>
    <w:rsid w:val="0061027E"/>
    <w:rsid w:val="00622602"/>
    <w:rsid w:val="00624335"/>
    <w:rsid w:val="006302D2"/>
    <w:rsid w:val="0065202B"/>
    <w:rsid w:val="00660F7B"/>
    <w:rsid w:val="00663623"/>
    <w:rsid w:val="00691B2B"/>
    <w:rsid w:val="00694DA2"/>
    <w:rsid w:val="00695830"/>
    <w:rsid w:val="006A0D0D"/>
    <w:rsid w:val="006A4580"/>
    <w:rsid w:val="006B6452"/>
    <w:rsid w:val="006C4018"/>
    <w:rsid w:val="006E355C"/>
    <w:rsid w:val="006F707D"/>
    <w:rsid w:val="00713DDD"/>
    <w:rsid w:val="0072329D"/>
    <w:rsid w:val="007417BF"/>
    <w:rsid w:val="00744AA3"/>
    <w:rsid w:val="00760A51"/>
    <w:rsid w:val="00771F48"/>
    <w:rsid w:val="00785DF0"/>
    <w:rsid w:val="007A33A9"/>
    <w:rsid w:val="007A3EFB"/>
    <w:rsid w:val="007B6058"/>
    <w:rsid w:val="007C51CC"/>
    <w:rsid w:val="007C5ADF"/>
    <w:rsid w:val="007C70F3"/>
    <w:rsid w:val="007D0D0F"/>
    <w:rsid w:val="007F5A02"/>
    <w:rsid w:val="00801BA7"/>
    <w:rsid w:val="00807C29"/>
    <w:rsid w:val="00810BB6"/>
    <w:rsid w:val="00826563"/>
    <w:rsid w:val="00832BF4"/>
    <w:rsid w:val="00842654"/>
    <w:rsid w:val="00844D09"/>
    <w:rsid w:val="00845F94"/>
    <w:rsid w:val="00862364"/>
    <w:rsid w:val="008825D1"/>
    <w:rsid w:val="008902DF"/>
    <w:rsid w:val="008A7156"/>
    <w:rsid w:val="008A7D29"/>
    <w:rsid w:val="008C200D"/>
    <w:rsid w:val="008D4271"/>
    <w:rsid w:val="008F27B9"/>
    <w:rsid w:val="0092152F"/>
    <w:rsid w:val="009454C4"/>
    <w:rsid w:val="0095118F"/>
    <w:rsid w:val="0095392A"/>
    <w:rsid w:val="0096183C"/>
    <w:rsid w:val="00961A81"/>
    <w:rsid w:val="00970A58"/>
    <w:rsid w:val="00996C5D"/>
    <w:rsid w:val="009E3737"/>
    <w:rsid w:val="009F3E30"/>
    <w:rsid w:val="00A8280E"/>
    <w:rsid w:val="00A94D31"/>
    <w:rsid w:val="00AA1929"/>
    <w:rsid w:val="00AC5848"/>
    <w:rsid w:val="00B476F3"/>
    <w:rsid w:val="00B51A61"/>
    <w:rsid w:val="00B55394"/>
    <w:rsid w:val="00B749EE"/>
    <w:rsid w:val="00BA6E0C"/>
    <w:rsid w:val="00BB16BC"/>
    <w:rsid w:val="00BB2677"/>
    <w:rsid w:val="00BC010C"/>
    <w:rsid w:val="00BF3628"/>
    <w:rsid w:val="00C2241D"/>
    <w:rsid w:val="00C47BC6"/>
    <w:rsid w:val="00C664A4"/>
    <w:rsid w:val="00C671E5"/>
    <w:rsid w:val="00C800B3"/>
    <w:rsid w:val="00C81454"/>
    <w:rsid w:val="00C8636F"/>
    <w:rsid w:val="00C93488"/>
    <w:rsid w:val="00C954F3"/>
    <w:rsid w:val="00CA05FA"/>
    <w:rsid w:val="00CD4244"/>
    <w:rsid w:val="00CE0E5F"/>
    <w:rsid w:val="00CE1FF8"/>
    <w:rsid w:val="00D102ED"/>
    <w:rsid w:val="00D258E9"/>
    <w:rsid w:val="00D26D28"/>
    <w:rsid w:val="00D326C2"/>
    <w:rsid w:val="00D332F3"/>
    <w:rsid w:val="00D35F56"/>
    <w:rsid w:val="00D361A4"/>
    <w:rsid w:val="00D472F1"/>
    <w:rsid w:val="00D666E2"/>
    <w:rsid w:val="00D91EA4"/>
    <w:rsid w:val="00D97E41"/>
    <w:rsid w:val="00DD2DD0"/>
    <w:rsid w:val="00DD7BF8"/>
    <w:rsid w:val="00E00273"/>
    <w:rsid w:val="00E12F61"/>
    <w:rsid w:val="00E14834"/>
    <w:rsid w:val="00E20018"/>
    <w:rsid w:val="00E71D2C"/>
    <w:rsid w:val="00EC2106"/>
    <w:rsid w:val="00EE4198"/>
    <w:rsid w:val="00F01255"/>
    <w:rsid w:val="00F162BF"/>
    <w:rsid w:val="00F312A9"/>
    <w:rsid w:val="00F3719F"/>
    <w:rsid w:val="00F434F2"/>
    <w:rsid w:val="00F44A66"/>
    <w:rsid w:val="00F552DD"/>
    <w:rsid w:val="00F62835"/>
    <w:rsid w:val="00F758BA"/>
    <w:rsid w:val="00FD3937"/>
    <w:rsid w:val="00FD5FCE"/>
    <w:rsid w:val="00FE3BB3"/>
    <w:rsid w:val="00FF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230BD"/>
  <w15:chartTrackingRefBased/>
  <w15:docId w15:val="{22D4A0A7-B9FD-4EDF-827E-E17E604D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05FA"/>
    <w:pPr>
      <w:spacing w:after="0" w:line="240" w:lineRule="auto"/>
    </w:pPr>
  </w:style>
  <w:style w:type="paragraph" w:styleId="Salutation">
    <w:name w:val="Salutation"/>
    <w:basedOn w:val="Normal"/>
    <w:next w:val="Normal"/>
    <w:link w:val="SalutationChar"/>
    <w:uiPriority w:val="10"/>
    <w:qFormat/>
    <w:rsid w:val="0072329D"/>
    <w:pPr>
      <w:spacing w:after="120"/>
    </w:pPr>
  </w:style>
  <w:style w:type="character" w:customStyle="1" w:styleId="SalutationChar">
    <w:name w:val="Salutation Char"/>
    <w:basedOn w:val="DefaultParagraphFont"/>
    <w:link w:val="Salutation"/>
    <w:uiPriority w:val="10"/>
    <w:rsid w:val="0072329D"/>
  </w:style>
  <w:style w:type="paragraph" w:styleId="Closing">
    <w:name w:val="Closing"/>
    <w:basedOn w:val="Normal"/>
    <w:next w:val="Signature"/>
    <w:link w:val="ClosingChar"/>
    <w:uiPriority w:val="11"/>
    <w:qFormat/>
    <w:rsid w:val="0072329D"/>
    <w:pPr>
      <w:spacing w:before="360" w:after="120"/>
      <w:contextualSpacing/>
    </w:pPr>
  </w:style>
  <w:style w:type="character" w:customStyle="1" w:styleId="ClosingChar">
    <w:name w:val="Closing Char"/>
    <w:basedOn w:val="DefaultParagraphFont"/>
    <w:link w:val="Closing"/>
    <w:uiPriority w:val="11"/>
    <w:rsid w:val="0072329D"/>
  </w:style>
  <w:style w:type="paragraph" w:styleId="Signature">
    <w:name w:val="Signature"/>
    <w:basedOn w:val="Normal"/>
    <w:link w:val="SignatureChar"/>
    <w:uiPriority w:val="99"/>
    <w:semiHidden/>
    <w:unhideWhenUsed/>
    <w:rsid w:val="0072329D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2329D"/>
  </w:style>
  <w:style w:type="table" w:styleId="TableGrid">
    <w:name w:val="Table Grid"/>
    <w:basedOn w:val="TableNormal"/>
    <w:uiPriority w:val="39"/>
    <w:rsid w:val="004F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23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23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pesource.us" TargetMode="Externa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mailto:spuntenney@hopesource.us" TargetMode="External"/><Relationship Id="rId12" Type="http://schemas.openxmlformats.org/officeDocument/2006/relationships/image" Target="media/image6.sv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379F5-6AC6-44A9-BE7D-E41C4B513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Avalos</dc:creator>
  <cp:keywords/>
  <dc:description/>
  <cp:lastModifiedBy>Erika Ritchie</cp:lastModifiedBy>
  <cp:revision>2</cp:revision>
  <dcterms:created xsi:type="dcterms:W3CDTF">2020-08-13T22:38:00Z</dcterms:created>
  <dcterms:modified xsi:type="dcterms:W3CDTF">2020-08-13T22:38:00Z</dcterms:modified>
</cp:coreProperties>
</file>